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drawings/drawing1.xml" ContentType="application/vnd.openxmlformats-officedocument.drawingml.chartshap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06930" w:rsidRDefault="006D077A">
      <w:pPr>
        <w:rPr>
          <w:rFonts w:ascii="Californian FB" w:hAnsi="Californian FB"/>
          <w:sz w:val="40"/>
          <w:szCs w:val="40"/>
        </w:rPr>
      </w:pPr>
      <w:r>
        <w:rPr>
          <w:rFonts w:ascii="Californian FB" w:hAnsi="Californian FB"/>
          <w:sz w:val="40"/>
          <w:szCs w:val="40"/>
        </w:rPr>
        <w:t xml:space="preserve">Lucerne Valley </w:t>
      </w:r>
    </w:p>
    <w:p w:rsidR="006D077A" w:rsidRDefault="006D077A">
      <w:pPr>
        <w:rPr>
          <w:rFonts w:ascii="Californian FB" w:hAnsi="Californian FB"/>
          <w:sz w:val="40"/>
          <w:szCs w:val="40"/>
        </w:rPr>
      </w:pPr>
      <w:r>
        <w:rPr>
          <w:rFonts w:ascii="Californian FB" w:hAnsi="Californian FB"/>
          <w:sz w:val="40"/>
          <w:szCs w:val="40"/>
        </w:rPr>
        <w:t>2017 Total Sales</w:t>
      </w:r>
    </w:p>
    <w:p w:rsidR="006D077A" w:rsidRPr="006D077A" w:rsidRDefault="006D077A">
      <w:pPr>
        <w:rPr>
          <w:rFonts w:ascii="Californian FB" w:hAnsi="Californian FB"/>
          <w:sz w:val="40"/>
          <w:szCs w:val="40"/>
        </w:rPr>
      </w:pPr>
      <w:bookmarkStart w:id="0" w:name="_GoBack"/>
      <w:r>
        <w:rPr>
          <w:noProof/>
        </w:rPr>
        <w:drawing>
          <wp:inline distT="0" distB="0" distL="0" distR="0" wp14:anchorId="25E2D09D" wp14:editId="3D67D449">
            <wp:extent cx="8848725" cy="6191250"/>
            <wp:effectExtent l="0" t="0" r="9525" b="0"/>
            <wp:docPr id="1" name="Chart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  <w:bookmarkEnd w:id="0"/>
    </w:p>
    <w:sectPr w:rsidR="006D077A" w:rsidRPr="006D077A" w:rsidSect="006D077A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fornian FB">
    <w:panose1 w:val="0207040306080B03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077A"/>
    <w:rsid w:val="00206930"/>
    <w:rsid w:val="006D07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060204C-472A-44FB-B7C6-ECA08449F1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jc w:val="center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oleObject" Target="../embeddings/oleObject1.bin"/><Relationship Id="rId2" Type="http://schemas.microsoft.com/office/2011/relationships/chartColorStyle" Target="colors1.xml"/><Relationship Id="rId1" Type="http://schemas.microsoft.com/office/2011/relationships/chartStyle" Target="style1.xml"/><Relationship Id="rId4" Type="http://schemas.openxmlformats.org/officeDocument/2006/relationships/chartUserShapes" Target="../drawings/drawing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n-US"/>
              <a:t>67 Homes Sold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title>
    <c:autoTitleDeleted val="0"/>
    <c:view3D>
      <c:rotX val="15"/>
      <c:rotY val="20"/>
      <c:depthPercent val="100"/>
      <c:rAngAx val="1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bar3DChart>
        <c:barDir val="bar"/>
        <c:grouping val="stacked"/>
        <c:varyColors val="0"/>
        <c:ser>
          <c:idx val="0"/>
          <c:order val="0"/>
          <c:tx>
            <c:strRef>
              <c:f>'[Template (1).xlsx]Sheet1'!$B$1</c:f>
              <c:strCache>
                <c:ptCount val="1"/>
                <c:pt idx="0">
                  <c:v>Totals</c:v>
                </c:pt>
              </c:strCache>
            </c:strRef>
          </c:tx>
          <c:spPr>
            <a:solidFill>
              <a:srgbClr val="7030A0"/>
            </a:solidFill>
            <a:ln>
              <a:noFill/>
            </a:ln>
            <a:effectLst>
              <a:outerShdw blurRad="57150" dist="19050" dir="5400000" algn="ctr" rotWithShape="0">
                <a:srgbClr val="000000">
                  <a:alpha val="63000"/>
                </a:srgbClr>
              </a:outerShdw>
            </a:effectLst>
            <a:sp3d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400" b="1" i="0" u="none" strike="noStrike" kern="1200" baseline="0">
                    <a:solidFill>
                      <a:schemeClr val="bg1"/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'[Template (1).xlsx]Sheet1'!$A$2:$A$15</c:f>
              <c:strCache>
                <c:ptCount val="14"/>
                <c:pt idx="0">
                  <c:v>&gt;$100,000 to &lt;$125,000</c:v>
                </c:pt>
                <c:pt idx="1">
                  <c:v>&gt;$125,000 to &lt;$150,000</c:v>
                </c:pt>
                <c:pt idx="2">
                  <c:v>&gt;$150,000 to &lt;$175,000</c:v>
                </c:pt>
                <c:pt idx="3">
                  <c:v>&gt;$175,000 to &lt;$200,000</c:v>
                </c:pt>
                <c:pt idx="4">
                  <c:v>&gt;$200,000 to &lt;$225,000</c:v>
                </c:pt>
                <c:pt idx="5">
                  <c:v>&gt;$225,000 to &lt;$250,000</c:v>
                </c:pt>
                <c:pt idx="6">
                  <c:v>&gt;$250,000 to &lt;$275,000</c:v>
                </c:pt>
                <c:pt idx="7">
                  <c:v>&gt;$275,000 to &lt;$300,000</c:v>
                </c:pt>
                <c:pt idx="8">
                  <c:v>&gt;$300,000 to &lt;$325,000</c:v>
                </c:pt>
                <c:pt idx="9">
                  <c:v>&gt;$325,000 to &lt;$350,000</c:v>
                </c:pt>
                <c:pt idx="10">
                  <c:v>&gt;$350,000 to &lt;$400,000</c:v>
                </c:pt>
                <c:pt idx="11">
                  <c:v>&gt;$400,000 to &lt;$450,000</c:v>
                </c:pt>
                <c:pt idx="12">
                  <c:v>&gt;$450,000 to &lt;$500,000</c:v>
                </c:pt>
                <c:pt idx="13">
                  <c:v>&gt;$500,000 and up</c:v>
                </c:pt>
              </c:strCache>
            </c:strRef>
          </c:cat>
          <c:val>
            <c:numRef>
              <c:f>'[Template (1).xlsx]Sheet1'!$B$2:$B$15</c:f>
              <c:numCache>
                <c:formatCode>General</c:formatCode>
                <c:ptCount val="14"/>
                <c:pt idx="0">
                  <c:v>12</c:v>
                </c:pt>
                <c:pt idx="1">
                  <c:v>16</c:v>
                </c:pt>
                <c:pt idx="2">
                  <c:v>21</c:v>
                </c:pt>
                <c:pt idx="3">
                  <c:v>10</c:v>
                </c:pt>
                <c:pt idx="4">
                  <c:v>3</c:v>
                </c:pt>
                <c:pt idx="5">
                  <c:v>1</c:v>
                </c:pt>
                <c:pt idx="7">
                  <c:v>1</c:v>
                </c:pt>
                <c:pt idx="8">
                  <c:v>1</c:v>
                </c:pt>
                <c:pt idx="9">
                  <c:v>1</c:v>
                </c:pt>
                <c:pt idx="10">
                  <c:v>1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box"/>
        <c:axId val="83382864"/>
        <c:axId val="83382080"/>
        <c:axId val="0"/>
      </c:bar3DChart>
      <c:catAx>
        <c:axId val="83382864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 w="12700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83382080"/>
        <c:crosses val="autoZero"/>
        <c:auto val="1"/>
        <c:lblAlgn val="ctr"/>
        <c:lblOffset val="100"/>
        <c:noMultiLvlLbl val="0"/>
      </c:catAx>
      <c:valAx>
        <c:axId val="83382080"/>
        <c:scaling>
          <c:orientation val="minMax"/>
        </c:scaling>
        <c:delete val="1"/>
        <c:axPos val="b"/>
        <c:numFmt formatCode="General" sourceLinked="1"/>
        <c:majorTickMark val="none"/>
        <c:minorTickMark val="none"/>
        <c:tickLblPos val="nextTo"/>
        <c:crossAx val="83382864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  <c:userShapes r:id="rId4"/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34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3"/>
    <cs:fontRef idx="minor">
      <a:schemeClr val="tx1"/>
    </cs:fontRef>
  </cs:dataPoint>
  <cs:dataPoint3D>
    <cs:lnRef idx="0"/>
    <cs:fillRef idx="3">
      <cs:styleClr val="auto"/>
    </cs:fillRef>
    <cs:effectRef idx="3"/>
    <cs:fontRef idx="minor">
      <a:schemeClr val="tx1"/>
    </cs:fontRef>
  </cs:dataPoint3D>
  <cs:dataPointLine>
    <cs:lnRef idx="0">
      <cs:styleClr val="auto"/>
    </cs:lnRef>
    <cs:fillRef idx="3"/>
    <cs:effectRef idx="3"/>
    <cs:fontRef idx="minor">
      <a:schemeClr val="tx1"/>
    </cs:fontRef>
    <cs:spPr>
      <a:ln w="349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3">
      <cs:styleClr val="auto"/>
    </cs:fillRef>
    <cs:effectRef idx="3"/>
    <cs:fontRef idx="minor">
      <a:schemeClr val="tx1"/>
    </cs:fontRef>
    <cs:spPr>
      <a:ln w="9525">
        <a:solidFill>
          <a:schemeClr val="phClr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3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lt1"/>
    </cs:fontRef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>
    <cs:lnRef idx="0"/>
    <cs:fillRef idx="0"/>
    <cs:effectRef idx="0"/>
    <cs:fontRef idx="minor">
      <a:schemeClr val="lt1"/>
    </cs:fontRef>
  </cs:plotArea>
  <cs:plotArea3D>
    <cs:lnRef idx="0"/>
    <cs:fillRef idx="0"/>
    <cs:effectRef idx="0"/>
    <cs:fontRef idx="minor">
      <a:schemeClr val="lt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baseline="0"/>
  </cs:title>
  <cs:trendline>
    <cs:lnRef idx="0">
      <cs:styleClr val="auto"/>
    </cs:lnRef>
    <cs:fillRef idx="0"/>
    <cs:effectRef idx="0"/>
    <cs:fontRef idx="minor">
      <a:schemeClr val="lt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lt1"/>
    </cs:fontRef>
  </cs:wall>
</cs:chartStyl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0.16362</cdr:x>
      <cdr:y>0.32154</cdr:y>
    </cdr:from>
    <cdr:to>
      <cdr:x>0.52637</cdr:x>
      <cdr:y>0.39692</cdr:y>
    </cdr:to>
    <cdr:sp macro="" textlink="">
      <cdr:nvSpPr>
        <cdr:cNvPr id="2" name="Text Box 1"/>
        <cdr:cNvSpPr txBox="1"/>
      </cdr:nvSpPr>
      <cdr:spPr>
        <a:xfrm xmlns:a="http://schemas.openxmlformats.org/drawingml/2006/main">
          <a:off x="1447800" y="1990725"/>
          <a:ext cx="3209925" cy="4667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100"/>
            <a:t>SqFt </a:t>
          </a:r>
          <a:r>
            <a:rPr lang="en-US" sz="1100" b="1"/>
            <a:t>4,488</a:t>
          </a:r>
          <a:r>
            <a:rPr lang="en-US" sz="1100"/>
            <a:t> - Year Built </a:t>
          </a:r>
          <a:r>
            <a:rPr lang="en-US" sz="1100" b="1"/>
            <a:t>1952</a:t>
          </a:r>
        </a:p>
      </cdr:txBody>
    </cdr:sp>
  </cdr:relSizeAnchor>
  <cdr:relSizeAnchor xmlns:cdr="http://schemas.openxmlformats.org/drawingml/2006/chartDrawing">
    <cdr:from>
      <cdr:x>0.16469</cdr:x>
      <cdr:y>0.38</cdr:y>
    </cdr:from>
    <cdr:to>
      <cdr:x>0.4704</cdr:x>
      <cdr:y>0.45692</cdr:y>
    </cdr:to>
    <cdr:sp macro="" textlink="">
      <cdr:nvSpPr>
        <cdr:cNvPr id="3" name="Text Box 2"/>
        <cdr:cNvSpPr txBox="1"/>
      </cdr:nvSpPr>
      <cdr:spPr>
        <a:xfrm xmlns:a="http://schemas.openxmlformats.org/drawingml/2006/main">
          <a:off x="1457325" y="2352675"/>
          <a:ext cx="2705100" cy="476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100"/>
            <a:t>SqFt </a:t>
          </a:r>
          <a:r>
            <a:rPr lang="en-US" sz="1100" b="1"/>
            <a:t>1,188</a:t>
          </a:r>
          <a:r>
            <a:rPr lang="en-US" sz="1100"/>
            <a:t> - Year Built </a:t>
          </a:r>
          <a:r>
            <a:rPr lang="en-US" sz="1100" b="1"/>
            <a:t>1945</a:t>
          </a:r>
        </a:p>
      </cdr:txBody>
    </cdr:sp>
  </cdr:relSizeAnchor>
  <cdr:relSizeAnchor xmlns:cdr="http://schemas.openxmlformats.org/drawingml/2006/chartDrawing">
    <cdr:from>
      <cdr:x>0.16254</cdr:x>
      <cdr:y>0.44308</cdr:y>
    </cdr:from>
    <cdr:to>
      <cdr:x>0.47793</cdr:x>
      <cdr:y>0.52308</cdr:y>
    </cdr:to>
    <cdr:sp macro="" textlink="">
      <cdr:nvSpPr>
        <cdr:cNvPr id="4" name="Text Box 3"/>
        <cdr:cNvSpPr txBox="1"/>
      </cdr:nvSpPr>
      <cdr:spPr>
        <a:xfrm xmlns:a="http://schemas.openxmlformats.org/drawingml/2006/main">
          <a:off x="1438275" y="2743200"/>
          <a:ext cx="2790825" cy="4953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100"/>
            <a:t>SqFt </a:t>
          </a:r>
          <a:r>
            <a:rPr lang="en-US" sz="1100" b="1"/>
            <a:t>1,920</a:t>
          </a:r>
          <a:r>
            <a:rPr lang="en-US" sz="1100"/>
            <a:t> - Year Built </a:t>
          </a:r>
          <a:r>
            <a:rPr lang="en-US" sz="1100" b="1"/>
            <a:t>2003</a:t>
          </a:r>
        </a:p>
      </cdr:txBody>
    </cdr:sp>
  </cdr:relSizeAnchor>
  <cdr:relSizeAnchor xmlns:cdr="http://schemas.openxmlformats.org/drawingml/2006/chartDrawing">
    <cdr:from>
      <cdr:x>0.16469</cdr:x>
      <cdr:y>0.50308</cdr:y>
    </cdr:from>
    <cdr:to>
      <cdr:x>0.44779</cdr:x>
      <cdr:y>0.56308</cdr:y>
    </cdr:to>
    <cdr:sp macro="" textlink="">
      <cdr:nvSpPr>
        <cdr:cNvPr id="5" name="Text Box 4"/>
        <cdr:cNvSpPr txBox="1"/>
      </cdr:nvSpPr>
      <cdr:spPr>
        <a:xfrm xmlns:a="http://schemas.openxmlformats.org/drawingml/2006/main">
          <a:off x="1457325" y="3114675"/>
          <a:ext cx="2505075" cy="3714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100"/>
            <a:t>SqFt </a:t>
          </a:r>
          <a:r>
            <a:rPr lang="en-US" sz="1100" b="1"/>
            <a:t>3,536</a:t>
          </a:r>
          <a:r>
            <a:rPr lang="en-US" sz="1100"/>
            <a:t> - Year</a:t>
          </a:r>
          <a:r>
            <a:rPr lang="en-US" sz="1100" baseline="0"/>
            <a:t> Built </a:t>
          </a:r>
          <a:r>
            <a:rPr lang="en-US" sz="1100" b="1" baseline="0"/>
            <a:t>2006</a:t>
          </a:r>
          <a:endParaRPr lang="en-US" sz="1100" b="1"/>
        </a:p>
      </cdr:txBody>
    </cdr:sp>
  </cdr:relSizeAnchor>
  <cdr:relSizeAnchor xmlns:cdr="http://schemas.openxmlformats.org/drawingml/2006/chartDrawing">
    <cdr:from>
      <cdr:x>0.16362</cdr:x>
      <cdr:y>0.62923</cdr:y>
    </cdr:from>
    <cdr:to>
      <cdr:x>0.38644</cdr:x>
      <cdr:y>0.70615</cdr:y>
    </cdr:to>
    <cdr:sp macro="" textlink="">
      <cdr:nvSpPr>
        <cdr:cNvPr id="6" name="Text Box 5"/>
        <cdr:cNvSpPr txBox="1"/>
      </cdr:nvSpPr>
      <cdr:spPr>
        <a:xfrm xmlns:a="http://schemas.openxmlformats.org/drawingml/2006/main">
          <a:off x="1447800" y="3895725"/>
          <a:ext cx="1971675" cy="476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100"/>
            <a:t>SqFt </a:t>
          </a:r>
          <a:r>
            <a:rPr lang="en-US" sz="1100" b="1"/>
            <a:t>2,100</a:t>
          </a:r>
          <a:r>
            <a:rPr lang="en-US" sz="1100"/>
            <a:t> - Year Built </a:t>
          </a:r>
          <a:r>
            <a:rPr lang="en-US" sz="1100" b="1"/>
            <a:t>1952</a:t>
          </a:r>
        </a:p>
      </cdr:txBody>
    </cdr:sp>
  </cdr:relSizeAnchor>
  <cdr:relSizeAnchor xmlns:cdr="http://schemas.openxmlformats.org/drawingml/2006/chartDrawing">
    <cdr:from>
      <cdr:x>0.16362</cdr:x>
      <cdr:y>0.69077</cdr:y>
    </cdr:from>
    <cdr:to>
      <cdr:x>0.69752</cdr:x>
      <cdr:y>0.76923</cdr:y>
    </cdr:to>
    <cdr:sp macro="" textlink="">
      <cdr:nvSpPr>
        <cdr:cNvPr id="7" name="Text Box 6"/>
        <cdr:cNvSpPr txBox="1"/>
      </cdr:nvSpPr>
      <cdr:spPr>
        <a:xfrm xmlns:a="http://schemas.openxmlformats.org/drawingml/2006/main">
          <a:off x="1447800" y="4276725"/>
          <a:ext cx="4724400" cy="4857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100"/>
            <a:t>Average SqFt </a:t>
          </a:r>
          <a:r>
            <a:rPr lang="en-US" sz="1100" b="1"/>
            <a:t>2,195</a:t>
          </a:r>
          <a:r>
            <a:rPr lang="en-US" sz="1100" baseline="0"/>
            <a:t> - Average Year Built </a:t>
          </a:r>
          <a:r>
            <a:rPr lang="en-US" sz="1100" b="1" baseline="0"/>
            <a:t>1994</a:t>
          </a:r>
          <a:endParaRPr lang="en-US" sz="1100" b="1"/>
        </a:p>
      </cdr:txBody>
    </cdr:sp>
  </cdr:relSizeAnchor>
  <cdr:relSizeAnchor xmlns:cdr="http://schemas.openxmlformats.org/drawingml/2006/chartDrawing">
    <cdr:from>
      <cdr:x>0.16577</cdr:x>
      <cdr:y>0.75385</cdr:y>
    </cdr:from>
    <cdr:to>
      <cdr:x>0.53391</cdr:x>
      <cdr:y>0.83385</cdr:y>
    </cdr:to>
    <cdr:sp macro="" textlink="">
      <cdr:nvSpPr>
        <cdr:cNvPr id="8" name="Text Box 7"/>
        <cdr:cNvSpPr txBox="1"/>
      </cdr:nvSpPr>
      <cdr:spPr>
        <a:xfrm xmlns:a="http://schemas.openxmlformats.org/drawingml/2006/main">
          <a:off x="1466850" y="4667250"/>
          <a:ext cx="3257550" cy="4953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100"/>
            <a:t>Average SqFt </a:t>
          </a:r>
          <a:r>
            <a:rPr lang="en-US" sz="1100" b="1"/>
            <a:t>1,662</a:t>
          </a:r>
          <a:r>
            <a:rPr lang="en-US" sz="1100"/>
            <a:t> - Average Year Built </a:t>
          </a:r>
          <a:r>
            <a:rPr lang="en-US" sz="1100" b="1"/>
            <a:t>1986</a:t>
          </a:r>
        </a:p>
      </cdr:txBody>
    </cdr:sp>
  </cdr:relSizeAnchor>
  <cdr:relSizeAnchor xmlns:cdr="http://schemas.openxmlformats.org/drawingml/2006/chartDrawing">
    <cdr:from>
      <cdr:x>0.16469</cdr:x>
      <cdr:y>0.81692</cdr:y>
    </cdr:from>
    <cdr:to>
      <cdr:x>0.54575</cdr:x>
      <cdr:y>0.89385</cdr:y>
    </cdr:to>
    <cdr:sp macro="" textlink="">
      <cdr:nvSpPr>
        <cdr:cNvPr id="9" name="Text Box 8"/>
        <cdr:cNvSpPr txBox="1"/>
      </cdr:nvSpPr>
      <cdr:spPr>
        <a:xfrm xmlns:a="http://schemas.openxmlformats.org/drawingml/2006/main">
          <a:off x="1457325" y="5057775"/>
          <a:ext cx="3371850" cy="476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100"/>
            <a:t>Average SqFt </a:t>
          </a:r>
          <a:r>
            <a:rPr lang="en-US" sz="1100" b="1"/>
            <a:t>1,787</a:t>
          </a:r>
          <a:r>
            <a:rPr lang="en-US" sz="1100"/>
            <a:t> - Average Year Built </a:t>
          </a:r>
          <a:r>
            <a:rPr lang="en-US" sz="1100" b="1"/>
            <a:t>1988</a:t>
          </a:r>
        </a:p>
      </cdr:txBody>
    </cdr:sp>
  </cdr:relSizeAnchor>
  <cdr:relSizeAnchor xmlns:cdr="http://schemas.openxmlformats.org/drawingml/2006/chartDrawing">
    <cdr:from>
      <cdr:x>0.27772</cdr:x>
      <cdr:y>0.17846</cdr:y>
    </cdr:from>
    <cdr:to>
      <cdr:x>0.28288</cdr:x>
      <cdr:y>0.18615</cdr:y>
    </cdr:to>
    <cdr:sp macro="" textlink="">
      <cdr:nvSpPr>
        <cdr:cNvPr id="10" name="Text Box 9"/>
        <cdr:cNvSpPr txBox="1"/>
      </cdr:nvSpPr>
      <cdr:spPr>
        <a:xfrm xmlns:a="http://schemas.openxmlformats.org/drawingml/2006/main">
          <a:off x="2457450" y="1104900"/>
          <a:ext cx="45719" cy="476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en-US" sz="1100"/>
        </a:p>
      </cdr:txBody>
    </cdr:sp>
  </cdr:relSizeAnchor>
  <cdr:relSizeAnchor xmlns:cdr="http://schemas.openxmlformats.org/drawingml/2006/chartDrawing">
    <cdr:from>
      <cdr:x>0.16469</cdr:x>
      <cdr:y>0.88</cdr:y>
    </cdr:from>
    <cdr:to>
      <cdr:x>0.52099</cdr:x>
      <cdr:y>0.95692</cdr:y>
    </cdr:to>
    <cdr:sp macro="" textlink="">
      <cdr:nvSpPr>
        <cdr:cNvPr id="11" name="Text Box 10"/>
        <cdr:cNvSpPr txBox="1"/>
      </cdr:nvSpPr>
      <cdr:spPr>
        <a:xfrm xmlns:a="http://schemas.openxmlformats.org/drawingml/2006/main">
          <a:off x="1457325" y="5448300"/>
          <a:ext cx="3152775" cy="476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100"/>
            <a:t>Average SqFt </a:t>
          </a:r>
          <a:r>
            <a:rPr lang="en-US" sz="1100" b="1"/>
            <a:t>1,379</a:t>
          </a:r>
          <a:r>
            <a:rPr lang="en-US" sz="1100"/>
            <a:t> - Average Year Built </a:t>
          </a:r>
          <a:r>
            <a:rPr lang="en-US" sz="1100" b="1"/>
            <a:t>1969</a:t>
          </a:r>
        </a:p>
      </cdr:txBody>
    </cdr:sp>
  </cdr:relSizeAnchor>
  <cdr:relSizeAnchor xmlns:cdr="http://schemas.openxmlformats.org/drawingml/2006/chartDrawing">
    <cdr:from>
      <cdr:x>0.16146</cdr:x>
      <cdr:y>0.94308</cdr:y>
    </cdr:from>
    <cdr:to>
      <cdr:x>0.56189</cdr:x>
      <cdr:y>0.99077</cdr:y>
    </cdr:to>
    <cdr:sp macro="" textlink="">
      <cdr:nvSpPr>
        <cdr:cNvPr id="12" name="Text Box 11"/>
        <cdr:cNvSpPr txBox="1"/>
      </cdr:nvSpPr>
      <cdr:spPr>
        <a:xfrm xmlns:a="http://schemas.openxmlformats.org/drawingml/2006/main">
          <a:off x="1428750" y="5838825"/>
          <a:ext cx="3543300" cy="2952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100"/>
            <a:t>Average SqFt </a:t>
          </a:r>
          <a:r>
            <a:rPr lang="en-US" sz="1100" b="1"/>
            <a:t>1,176</a:t>
          </a:r>
          <a:r>
            <a:rPr lang="en-US" sz="1100"/>
            <a:t> - Average Year Built </a:t>
          </a:r>
          <a:r>
            <a:rPr lang="en-US" sz="1100" b="1"/>
            <a:t>1957</a:t>
          </a:r>
        </a:p>
      </cdr:txBody>
    </cdr:sp>
  </cdr:relSizeAnchor>
</c:userShape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5</Words>
  <Characters>30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Fidelity National Financial</Company>
  <LinksUpToDate>false</LinksUpToDate>
  <CharactersWithSpaces>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Walker, Jason</dc:creator>
  <cp:keywords/>
  <dc:description/>
  <cp:lastModifiedBy>Walker, Jason</cp:lastModifiedBy>
  <cp:revision>1</cp:revision>
  <dcterms:created xsi:type="dcterms:W3CDTF">2018-01-25T22:40:00Z</dcterms:created>
  <dcterms:modified xsi:type="dcterms:W3CDTF">2018-01-25T22:50:00Z</dcterms:modified>
</cp:coreProperties>
</file>